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7" w:rsidRDefault="00D10877" w:rsidP="00D1087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10877" w:rsidRDefault="00D10877" w:rsidP="00D1087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10877" w:rsidRDefault="00D10877" w:rsidP="00D1087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10877" w:rsidRDefault="00D10877" w:rsidP="00D1087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D10877" w:rsidRDefault="00D10877" w:rsidP="00D1087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10877" w:rsidRDefault="00D10877" w:rsidP="00D10877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10877" w:rsidRDefault="00D10877" w:rsidP="00D10877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D10877" w:rsidRPr="00325A4C" w:rsidRDefault="00D10877" w:rsidP="00D108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17.12.2021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25A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9723A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D10877" w:rsidRPr="00117413" w:rsidRDefault="00D10877" w:rsidP="00D10877">
      <w:pPr>
        <w:rPr>
          <w:rFonts w:ascii="Times New Roman" w:hAnsi="Times New Roman" w:cs="Times New Roman"/>
          <w:bCs/>
          <w:sz w:val="28"/>
          <w:szCs w:val="28"/>
        </w:rPr>
      </w:pPr>
    </w:p>
    <w:p w:rsidR="00D10877" w:rsidRDefault="00D10877" w:rsidP="00D1087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информации о ходе реализации </w:t>
      </w:r>
    </w:p>
    <w:p w:rsidR="00D10877" w:rsidRDefault="00D10877" w:rsidP="00D1087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программы Ханты-</w:t>
      </w:r>
    </w:p>
    <w:p w:rsidR="00D10877" w:rsidRDefault="00D10877" w:rsidP="00D1087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Мансийского района </w:t>
      </w: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gramStart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Комплексное</w:t>
      </w:r>
      <w:proofErr w:type="gramEnd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D10877" w:rsidRDefault="00D10877" w:rsidP="00D1087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развитие транспортной системы </w:t>
      </w:r>
      <w:proofErr w:type="gramStart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D10877" w:rsidRDefault="00D10877" w:rsidP="00D1087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территории Ханты-Мансийского района </w:t>
      </w:r>
    </w:p>
    <w:p w:rsidR="00D10877" w:rsidRDefault="00D10877" w:rsidP="00D1087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2019-</w:t>
      </w:r>
      <w:r w:rsidRPr="001733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2023 годы»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состоянию </w:t>
      </w:r>
    </w:p>
    <w:p w:rsidR="00D10877" w:rsidRPr="009D056F" w:rsidRDefault="00D10877" w:rsidP="00D10877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1 декабря 2021 года</w:t>
      </w:r>
    </w:p>
    <w:p w:rsidR="00D10877" w:rsidRPr="00117413" w:rsidRDefault="00D10877" w:rsidP="00D1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877" w:rsidRPr="00714CC4" w:rsidRDefault="00D10877" w:rsidP="00D1087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615</w:t>
      </w:r>
      <w:r w:rsidRPr="00117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заслушав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муниципальной 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</w:t>
      </w:r>
      <w:r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173360">
        <w:rPr>
          <w:rFonts w:ascii="Times New Roman" w:hAnsi="Times New Roman" w:cs="Times New Roman"/>
          <w:sz w:val="28"/>
          <w:szCs w:val="28"/>
        </w:rPr>
        <w:t>2023 годы»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декабря 2021 года</w:t>
      </w:r>
      <w:r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</w:t>
      </w:r>
      <w:proofErr w:type="gramEnd"/>
      <w:r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Ханты-Мансийского района,</w:t>
      </w:r>
    </w:p>
    <w:p w:rsidR="00D10877" w:rsidRPr="00117413" w:rsidRDefault="00D10877" w:rsidP="00D10877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D10877" w:rsidRPr="00117413" w:rsidRDefault="00D10877" w:rsidP="00D1087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10877" w:rsidRPr="00117413" w:rsidRDefault="00D10877" w:rsidP="00D1087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77" w:rsidRPr="00117413" w:rsidRDefault="00D10877" w:rsidP="00D1087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10877" w:rsidRPr="00117413" w:rsidRDefault="00D10877" w:rsidP="00D1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877" w:rsidRDefault="00D10877" w:rsidP="00D10877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C6E9D">
        <w:rPr>
          <w:rFonts w:ascii="Times New Roman" w:hAnsi="Times New Roman" w:cs="Times New Roman"/>
          <w:bCs/>
          <w:sz w:val="28"/>
          <w:szCs w:val="28"/>
        </w:rPr>
        <w:t xml:space="preserve">нформацию о ходе реализации муниципальной 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</w:t>
      </w:r>
      <w:r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173360">
        <w:rPr>
          <w:rFonts w:ascii="Times New Roman" w:hAnsi="Times New Roman" w:cs="Times New Roman"/>
          <w:sz w:val="28"/>
          <w:szCs w:val="28"/>
        </w:rPr>
        <w:t>2023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состоянию на 1 декабря 2021</w:t>
      </w:r>
      <w:r w:rsidRPr="001C6E9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D10877" w:rsidRDefault="00D10877" w:rsidP="00D10877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10877" w:rsidRPr="00117413" w:rsidRDefault="00D10877" w:rsidP="00D108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0877" w:rsidRDefault="00D10877" w:rsidP="00D10877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77" w:rsidRPr="00681141" w:rsidRDefault="00D10877" w:rsidP="00D10877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Данилова</w:t>
      </w:r>
    </w:p>
    <w:p w:rsidR="00D10877" w:rsidRPr="00117413" w:rsidRDefault="0039723A" w:rsidP="00D10877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23.12.2021</w:t>
      </w:r>
    </w:p>
    <w:p w:rsidR="00D10877" w:rsidRDefault="00D10877" w:rsidP="00D1087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877" w:rsidRDefault="00D10877" w:rsidP="00D1087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877" w:rsidRDefault="00D10877" w:rsidP="00D1087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877" w:rsidRDefault="00D10877" w:rsidP="00D1087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877" w:rsidRDefault="00D10877" w:rsidP="00D1087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877" w:rsidRDefault="00D10877" w:rsidP="00D1087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877" w:rsidRPr="00117413" w:rsidRDefault="00D10877" w:rsidP="00D10877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0877" w:rsidRPr="00117413" w:rsidRDefault="00D10877" w:rsidP="00D10877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10877" w:rsidRPr="00117413" w:rsidRDefault="00D10877" w:rsidP="00D10877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10877" w:rsidRPr="00117413" w:rsidRDefault="00D10877" w:rsidP="00D10877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117413">
        <w:rPr>
          <w:rFonts w:ascii="Times New Roman" w:hAnsi="Times New Roman" w:cs="Times New Roman"/>
          <w:sz w:val="28"/>
          <w:szCs w:val="28"/>
        </w:rPr>
        <w:t xml:space="preserve">№ </w:t>
      </w:r>
      <w:r w:rsidR="0039723A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</w:p>
    <w:p w:rsidR="00D10877" w:rsidRDefault="00D10877" w:rsidP="00D1087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0877" w:rsidRDefault="00D10877" w:rsidP="00D1087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 </w:t>
      </w:r>
    </w:p>
    <w:p w:rsidR="00D10877" w:rsidRPr="00117413" w:rsidRDefault="00D10877" w:rsidP="00D1087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ходе реализации муниципальной программы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</w:t>
      </w:r>
      <w:r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173360">
        <w:rPr>
          <w:rFonts w:ascii="Times New Roman" w:hAnsi="Times New Roman" w:cs="Times New Roman"/>
          <w:sz w:val="28"/>
          <w:szCs w:val="28"/>
        </w:rPr>
        <w:t>2023 годы»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состоянию на 1 декабря 2021 года</w:t>
      </w:r>
    </w:p>
    <w:p w:rsidR="00D10877" w:rsidRPr="00117413" w:rsidRDefault="00D10877" w:rsidP="00D1087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0877" w:rsidRPr="009E2861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Ханты-Мансийского района на 2019 – 2023 годы»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администрации Ханты-Мансийского района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861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334.</w:t>
      </w:r>
      <w:r w:rsidRPr="009E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0877" w:rsidRPr="009E2861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Объем средств на реализацию Программы устанавливается ежегодно решением Думы Ханты-Мансийского района о бюджете на очередной финансовый год и плановый период.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 из бюджета района составляет </w:t>
      </w:r>
      <w:r w:rsidRPr="007B44E3">
        <w:rPr>
          <w:rFonts w:ascii="Times New Roman" w:hAnsi="Times New Roman" w:cs="Times New Roman"/>
          <w:sz w:val="28"/>
          <w:szCs w:val="28"/>
        </w:rPr>
        <w:t>125 967,7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D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Фактическое о</w:t>
      </w:r>
      <w:r w:rsidRPr="004D44D8">
        <w:rPr>
          <w:rFonts w:ascii="Times New Roman" w:hAnsi="Times New Roman" w:cs="Times New Roman"/>
          <w:sz w:val="28"/>
          <w:szCs w:val="28"/>
        </w:rPr>
        <w:t>своение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4D44D8">
        <w:rPr>
          <w:rFonts w:ascii="Times New Roman" w:hAnsi="Times New Roman" w:cs="Times New Roman"/>
          <w:sz w:val="28"/>
          <w:szCs w:val="28"/>
        </w:rPr>
        <w:t xml:space="preserve"> 69,2% от плана на 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4D44D8">
        <w:rPr>
          <w:rFonts w:ascii="Times New Roman" w:hAnsi="Times New Roman" w:cs="Times New Roman"/>
          <w:sz w:val="28"/>
          <w:szCs w:val="28"/>
        </w:rPr>
        <w:t>.</w:t>
      </w:r>
    </w:p>
    <w:p w:rsidR="00D10877" w:rsidRDefault="00D10877" w:rsidP="00D10877">
      <w:pPr>
        <w:pStyle w:val="a5"/>
        <w:tabs>
          <w:tab w:val="left" w:pos="317"/>
        </w:tabs>
        <w:spacing w:line="240" w:lineRule="auto"/>
        <w:ind w:left="33" w:firstLine="818"/>
        <w:contextualSpacing w:val="0"/>
        <w:rPr>
          <w:bCs/>
        </w:rPr>
      </w:pPr>
      <w:r>
        <w:t xml:space="preserve">Целью Программы является </w:t>
      </w:r>
      <w:r>
        <w:rPr>
          <w:bCs/>
        </w:rPr>
        <w:t>р</w:t>
      </w:r>
      <w:r w:rsidRPr="00B11D1D">
        <w:rPr>
          <w:bCs/>
        </w:rPr>
        <w:t xml:space="preserve">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</w:t>
      </w:r>
      <w:r>
        <w:rPr>
          <w:bCs/>
        </w:rPr>
        <w:t>с</w:t>
      </w:r>
      <w:r w:rsidRPr="00B11D1D">
        <w:rPr>
          <w:bCs/>
        </w:rPr>
        <w:t>оздание условий для предоставления транспортных услуг населению между поселениями в границах Ханты-Мансийского района</w:t>
      </w:r>
      <w:r>
        <w:rPr>
          <w:bCs/>
        </w:rPr>
        <w:t>.</w:t>
      </w:r>
    </w:p>
    <w:p w:rsidR="00D10877" w:rsidRPr="009E2861" w:rsidRDefault="00D10877" w:rsidP="00D10877">
      <w:pPr>
        <w:pStyle w:val="a5"/>
        <w:tabs>
          <w:tab w:val="left" w:pos="317"/>
          <w:tab w:val="left" w:pos="4510"/>
        </w:tabs>
        <w:spacing w:line="240" w:lineRule="auto"/>
        <w:ind w:left="33" w:firstLine="818"/>
        <w:contextualSpacing w:val="0"/>
      </w:pPr>
      <w:r>
        <w:rPr>
          <w:bCs/>
        </w:rPr>
        <w:t>Задачей Программы является о</w:t>
      </w:r>
      <w:r w:rsidRPr="00A00627">
        <w:rPr>
          <w:bCs/>
        </w:rPr>
        <w:t>беспечение бесперебойного функционирования сети автомобильных дорог общего пользования местного значения</w:t>
      </w:r>
      <w:r>
        <w:rPr>
          <w:bCs/>
        </w:rPr>
        <w:t>, о</w:t>
      </w:r>
      <w:r w:rsidRPr="00A00627">
        <w:rPr>
          <w:bCs/>
        </w:rPr>
        <w:t>беспечение доступности и повышение качества транспортных услуг</w:t>
      </w:r>
      <w:r>
        <w:rPr>
          <w:bCs/>
        </w:rPr>
        <w:t>,</w:t>
      </w:r>
      <w:r w:rsidRPr="00753076">
        <w:rPr>
          <w:bCs/>
        </w:rPr>
        <w:t xml:space="preserve"> </w:t>
      </w:r>
      <w:r>
        <w:rPr>
          <w:bCs/>
        </w:rPr>
        <w:t>о</w:t>
      </w:r>
      <w:r w:rsidRPr="00A00627">
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</w:t>
      </w:r>
      <w:r>
        <w:t xml:space="preserve">ленных пунктах </w:t>
      </w:r>
      <w:r w:rsidRPr="00A00627">
        <w:t>района</w:t>
      </w:r>
      <w:r>
        <w:t>, п</w:t>
      </w:r>
      <w:r w:rsidRPr="00A00627">
        <w:t>овышение</w:t>
      </w:r>
      <w:r w:rsidRPr="00A00627">
        <w:rPr>
          <w:color w:val="FF0000"/>
        </w:rPr>
        <w:t xml:space="preserve"> </w:t>
      </w:r>
      <w:r w:rsidRPr="00A00627">
        <w:t>безопасности дорожного движения</w:t>
      </w:r>
      <w:r>
        <w:t>.</w:t>
      </w:r>
    </w:p>
    <w:p w:rsidR="00D10877" w:rsidRPr="009E2861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Для достижения поставленной цели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следующих основных мероприятий:</w:t>
      </w:r>
    </w:p>
    <w:p w:rsidR="00D10877" w:rsidRPr="008461AB" w:rsidRDefault="00D10877" w:rsidP="00D10877">
      <w:pPr>
        <w:tabs>
          <w:tab w:val="left" w:pos="72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1.</w:t>
      </w:r>
      <w:r w:rsidRPr="008461AB">
        <w:rPr>
          <w:rFonts w:ascii="Times New Roman" w:hAnsi="Times New Roman" w:cs="Times New Roman"/>
          <w:sz w:val="28"/>
          <w:szCs w:val="28"/>
        </w:rPr>
        <w:tab/>
      </w:r>
      <w:r w:rsidRPr="00E20FBF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(текущий) ремонт автомобильных дорог местного значения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B4A9D">
        <w:rPr>
          <w:rFonts w:ascii="Times New Roman" w:hAnsi="Times New Roman" w:cs="Times New Roman"/>
          <w:sz w:val="28"/>
          <w:szCs w:val="28"/>
        </w:rPr>
        <w:t xml:space="preserve">Корректировка проектно-сметной документации по объекту «Строительство подъездной дороги до д. Белогорье и п. </w:t>
      </w:r>
      <w:proofErr w:type="spellStart"/>
      <w:r w:rsidRPr="004B4A9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4B4A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FE1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D32FE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3 308,3 </w:t>
      </w:r>
      <w:r w:rsidRPr="00D32FE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FE1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6BB">
        <w:rPr>
          <w:rFonts w:ascii="Times New Roman" w:hAnsi="Times New Roman" w:cs="Times New Roman"/>
          <w:sz w:val="28"/>
          <w:szCs w:val="28"/>
        </w:rPr>
        <w:t>Подрядной организацией нарушены сроки выполнения рабо</w:t>
      </w:r>
      <w:r>
        <w:rPr>
          <w:rFonts w:ascii="Times New Roman" w:hAnsi="Times New Roman" w:cs="Times New Roman"/>
          <w:sz w:val="28"/>
          <w:szCs w:val="28"/>
        </w:rPr>
        <w:t>т. Ведется претензионная работа;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Pr="002A3B79">
        <w:rPr>
          <w:rFonts w:ascii="Times New Roman" w:hAnsi="Times New Roman" w:cs="Times New Roman"/>
          <w:sz w:val="28"/>
          <w:szCs w:val="28"/>
        </w:rPr>
        <w:t>Ремонт автомобильных дорог в СП Сибирский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63DCF">
        <w:rPr>
          <w:rFonts w:ascii="Times New Roman" w:hAnsi="Times New Roman" w:cs="Times New Roman"/>
          <w:sz w:val="28"/>
          <w:szCs w:val="28"/>
        </w:rPr>
        <w:t>Ответственным исполнителем мероприятия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10 000,0 тыс. рублей. Исполнение составило 97,7 %. </w:t>
      </w:r>
      <w:r w:rsidRPr="00763D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иобретен щебень на сумму 6 770,0</w:t>
      </w:r>
      <w:r w:rsidRPr="00763DC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CF">
        <w:rPr>
          <w:rFonts w:ascii="Times New Roman" w:hAnsi="Times New Roman" w:cs="Times New Roman"/>
          <w:sz w:val="28"/>
          <w:szCs w:val="28"/>
        </w:rPr>
        <w:t>рублей. Установлены дорожные знаки на сумму 433,5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CF">
        <w:rPr>
          <w:rFonts w:ascii="Times New Roman" w:hAnsi="Times New Roman" w:cs="Times New Roman"/>
          <w:sz w:val="28"/>
          <w:szCs w:val="28"/>
        </w:rPr>
        <w:t xml:space="preserve">рублей. Проведены работы </w:t>
      </w:r>
      <w:r>
        <w:rPr>
          <w:rFonts w:ascii="Times New Roman" w:hAnsi="Times New Roman" w:cs="Times New Roman"/>
          <w:sz w:val="28"/>
          <w:szCs w:val="28"/>
        </w:rPr>
        <w:t>по ремонту дорог по</w:t>
      </w:r>
      <w:r w:rsidRPr="00763DCF">
        <w:rPr>
          <w:rFonts w:ascii="Times New Roman" w:hAnsi="Times New Roman" w:cs="Times New Roman"/>
          <w:sz w:val="28"/>
          <w:szCs w:val="28"/>
        </w:rPr>
        <w:t xml:space="preserve"> ул. Кооперативная,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CF">
        <w:rPr>
          <w:rFonts w:ascii="Times New Roman" w:hAnsi="Times New Roman" w:cs="Times New Roman"/>
          <w:sz w:val="28"/>
          <w:szCs w:val="28"/>
        </w:rPr>
        <w:t xml:space="preserve">ул. Новая, </w:t>
      </w:r>
      <w:r>
        <w:rPr>
          <w:rFonts w:ascii="Times New Roman" w:hAnsi="Times New Roman" w:cs="Times New Roman"/>
          <w:sz w:val="28"/>
          <w:szCs w:val="28"/>
        </w:rPr>
        <w:t xml:space="preserve">ул. Полевая </w:t>
      </w:r>
      <w:r w:rsidRPr="00763DCF">
        <w:rPr>
          <w:rFonts w:ascii="Times New Roman" w:hAnsi="Times New Roman" w:cs="Times New Roman"/>
          <w:sz w:val="28"/>
          <w:szCs w:val="28"/>
        </w:rPr>
        <w:t>на сумму 2 566,4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ублей. До конца текущего года</w:t>
      </w:r>
      <w:r w:rsidRPr="00763DCF">
        <w:rPr>
          <w:rFonts w:ascii="Times New Roman" w:hAnsi="Times New Roman" w:cs="Times New Roman"/>
          <w:sz w:val="28"/>
          <w:szCs w:val="28"/>
        </w:rPr>
        <w:t xml:space="preserve"> планируется исполнение мероприятий по установке дорожных з</w:t>
      </w:r>
      <w:r>
        <w:rPr>
          <w:rFonts w:ascii="Times New Roman" w:hAnsi="Times New Roman" w:cs="Times New Roman"/>
          <w:sz w:val="28"/>
          <w:szCs w:val="28"/>
        </w:rPr>
        <w:t>наков на сумму 230,1 тыс. рублей;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A3B79">
        <w:rPr>
          <w:rFonts w:ascii="Times New Roman" w:hAnsi="Times New Roman" w:cs="Times New Roman"/>
          <w:sz w:val="28"/>
          <w:szCs w:val="28"/>
        </w:rPr>
        <w:t xml:space="preserve">Корректировка проектно-сметной документации объекта: «Реконструкция </w:t>
      </w:r>
      <w:proofErr w:type="spellStart"/>
      <w:r w:rsidRPr="002A3B7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A3B79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 w:rsidRPr="002A3B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B7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A3B79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2A3B79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D86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составляет 5 052,0</w:t>
      </w:r>
      <w:r w:rsidRPr="00BE5D8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D86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Исполнение отсутствует. </w:t>
      </w:r>
      <w:r w:rsidRPr="008D1228">
        <w:rPr>
          <w:rFonts w:ascii="Times New Roman" w:hAnsi="Times New Roman" w:cs="Times New Roman"/>
          <w:sz w:val="28"/>
          <w:szCs w:val="28"/>
        </w:rPr>
        <w:t>21.06.2021</w:t>
      </w:r>
      <w:r>
        <w:rPr>
          <w:rFonts w:ascii="Times New Roman" w:hAnsi="Times New Roman" w:cs="Times New Roman"/>
          <w:sz w:val="28"/>
          <w:szCs w:val="28"/>
        </w:rPr>
        <w:t xml:space="preserve"> года был заключен муниципальный контракт на сумму 5 050,0 тыс.</w:t>
      </w:r>
      <w:r w:rsidRPr="008D1228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 xml:space="preserve">При проектировании объекта возникла необходимость определения наличия или отсутствия выявленных объектов культурного наследия либо объектов обладающих признаками объектов культурного (археологического) наследия, и выполнение археологической разведки, по итогам получения заключения государственной историко-культурной экспертизы. Стоимость выполнения данных работ </w:t>
      </w:r>
      <w:r w:rsidRPr="00D51C23">
        <w:rPr>
          <w:rFonts w:ascii="Times New Roman" w:hAnsi="Times New Roman" w:cs="Times New Roman"/>
          <w:sz w:val="28"/>
          <w:szCs w:val="28"/>
        </w:rPr>
        <w:t>превышает более 10 % с</w:t>
      </w:r>
      <w:r>
        <w:rPr>
          <w:rFonts w:ascii="Times New Roman" w:hAnsi="Times New Roman" w:cs="Times New Roman"/>
          <w:sz w:val="28"/>
          <w:szCs w:val="28"/>
        </w:rPr>
        <w:t xml:space="preserve">тоимости контракта, в </w:t>
      </w:r>
      <w:proofErr w:type="gramStart"/>
      <w:r w:rsidRPr="00D51C2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51C23">
        <w:rPr>
          <w:rFonts w:ascii="Times New Roman" w:hAnsi="Times New Roman" w:cs="Times New Roman"/>
          <w:sz w:val="28"/>
          <w:szCs w:val="28"/>
        </w:rPr>
        <w:t xml:space="preserve"> с чем контракт расторгнут по соглаш</w:t>
      </w:r>
      <w:r>
        <w:rPr>
          <w:rFonts w:ascii="Times New Roman" w:hAnsi="Times New Roman" w:cs="Times New Roman"/>
          <w:sz w:val="28"/>
          <w:szCs w:val="28"/>
        </w:rPr>
        <w:t>ению сторон от 02.09.2021.</w:t>
      </w:r>
      <w:r w:rsidRPr="00D51C23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выполнить в 2022 году. 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83FBC">
        <w:rPr>
          <w:rFonts w:ascii="Times New Roman" w:hAnsi="Times New Roman" w:cs="Times New Roman"/>
          <w:sz w:val="28"/>
          <w:szCs w:val="28"/>
        </w:rPr>
        <w:t xml:space="preserve">Ремонт дороги к полигону ТБО п. </w:t>
      </w:r>
      <w:proofErr w:type="spellStart"/>
      <w:r w:rsidRPr="00683FB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F73BA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>
        <w:rPr>
          <w:rFonts w:ascii="Times New Roman" w:hAnsi="Times New Roman" w:cs="Times New Roman"/>
          <w:sz w:val="28"/>
          <w:szCs w:val="28"/>
        </w:rPr>
        <w:t>а реализацию мероприятия составляет 17 777,5</w:t>
      </w:r>
      <w:r w:rsidRPr="006F73B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B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A4">
        <w:rPr>
          <w:rFonts w:ascii="Times New Roman" w:hAnsi="Times New Roman" w:cs="Times New Roman"/>
          <w:sz w:val="28"/>
          <w:szCs w:val="28"/>
        </w:rPr>
        <w:t>Выполнены работы по укладке железобетонных плит, асфальтированию дорожного полотна, устройству укрепительных полос из щебня. Установлены дорожные зн</w:t>
      </w:r>
      <w:r>
        <w:rPr>
          <w:rFonts w:ascii="Times New Roman" w:hAnsi="Times New Roman" w:cs="Times New Roman"/>
          <w:sz w:val="28"/>
          <w:szCs w:val="28"/>
        </w:rPr>
        <w:t>аки, нанесена дорожная разметка;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83FBC">
        <w:rPr>
          <w:rFonts w:ascii="Times New Roman" w:hAnsi="Times New Roman" w:cs="Times New Roman"/>
          <w:sz w:val="28"/>
          <w:szCs w:val="28"/>
        </w:rPr>
        <w:t xml:space="preserve">ПИР «Автомобильная дорога </w:t>
      </w:r>
      <w:proofErr w:type="gramStart"/>
      <w:r w:rsidRPr="00683F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3FB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83FBC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683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3BA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>
        <w:rPr>
          <w:rFonts w:ascii="Times New Roman" w:hAnsi="Times New Roman" w:cs="Times New Roman"/>
          <w:sz w:val="28"/>
          <w:szCs w:val="28"/>
        </w:rPr>
        <w:t>а мероприятие составляет 3 860,4</w:t>
      </w:r>
      <w:r w:rsidRPr="006F73B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B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Заключены муниципальные контракты на проведение инженерных изысканий, разработку</w:t>
      </w:r>
      <w:r w:rsidRPr="005C41A2">
        <w:rPr>
          <w:rFonts w:ascii="Times New Roman" w:hAnsi="Times New Roman" w:cs="Times New Roman"/>
          <w:sz w:val="28"/>
          <w:szCs w:val="28"/>
        </w:rPr>
        <w:t xml:space="preserve"> проектно-сметной и рабочей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3 553,0 тыс. рублей. Работы выполнены в полном объеме;</w:t>
      </w:r>
    </w:p>
    <w:p w:rsidR="00D10877" w:rsidRDefault="00D10877" w:rsidP="00D108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83FBC">
        <w:rPr>
          <w:rFonts w:ascii="Times New Roman" w:hAnsi="Times New Roman" w:cs="Times New Roman"/>
          <w:sz w:val="28"/>
          <w:szCs w:val="28"/>
        </w:rPr>
        <w:t>Строительство объездной дороги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FB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83FBC">
        <w:rPr>
          <w:rFonts w:ascii="Times New Roman" w:hAnsi="Times New Roman" w:cs="Times New Roman"/>
          <w:sz w:val="28"/>
          <w:szCs w:val="28"/>
        </w:rPr>
        <w:t xml:space="preserve"> (ПИР, СМР)</w:t>
      </w:r>
      <w:r>
        <w:rPr>
          <w:rFonts w:ascii="Times New Roman" w:hAnsi="Times New Roman" w:cs="Times New Roman"/>
          <w:sz w:val="28"/>
          <w:szCs w:val="28"/>
        </w:rPr>
        <w:t>». На реализацию мероприятия направлены средства от пожертвования компании топливно-энергетического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F73BA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>
        <w:rPr>
          <w:rFonts w:ascii="Times New Roman" w:hAnsi="Times New Roman" w:cs="Times New Roman"/>
          <w:sz w:val="28"/>
          <w:szCs w:val="28"/>
        </w:rPr>
        <w:t>а мероприятие составляет 18 500,0</w:t>
      </w:r>
      <w:r w:rsidRPr="006F73B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B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5615">
        <w:rPr>
          <w:rFonts w:ascii="Times New Roman" w:hAnsi="Times New Roman" w:cs="Times New Roman"/>
          <w:sz w:val="28"/>
          <w:szCs w:val="28"/>
        </w:rPr>
        <w:t>ыполнены</w:t>
      </w:r>
      <w:r>
        <w:rPr>
          <w:rFonts w:ascii="Times New Roman" w:hAnsi="Times New Roman" w:cs="Times New Roman"/>
          <w:sz w:val="28"/>
          <w:szCs w:val="28"/>
        </w:rPr>
        <w:t xml:space="preserve"> инженерные изыскания, </w:t>
      </w:r>
      <w:r w:rsidRPr="00235615">
        <w:rPr>
          <w:rFonts w:ascii="Times New Roman" w:hAnsi="Times New Roman" w:cs="Times New Roman"/>
          <w:sz w:val="28"/>
          <w:szCs w:val="28"/>
        </w:rPr>
        <w:t>разработка проектно</w:t>
      </w:r>
      <w:r>
        <w:rPr>
          <w:rFonts w:ascii="Times New Roman" w:hAnsi="Times New Roman" w:cs="Times New Roman"/>
          <w:sz w:val="28"/>
          <w:szCs w:val="28"/>
        </w:rPr>
        <w:t>-сметной и рабочей документации на сумму 3 218,0 тыс. рублей. Средства в размере 15 282,0 тыс. рублей планируется направить на строительство объекта в 2022 году;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C0FB7">
        <w:rPr>
          <w:rFonts w:ascii="Times New Roman" w:hAnsi="Times New Roman" w:cs="Times New Roman"/>
          <w:sz w:val="28"/>
          <w:szCs w:val="28"/>
        </w:rPr>
        <w:t xml:space="preserve">Строительство дороги к новому кладбищу в п. </w:t>
      </w:r>
      <w:proofErr w:type="spellStart"/>
      <w:r w:rsidRPr="004C0FB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4C0FB7">
        <w:rPr>
          <w:rFonts w:ascii="Times New Roman" w:hAnsi="Times New Roman" w:cs="Times New Roman"/>
          <w:sz w:val="28"/>
          <w:szCs w:val="28"/>
        </w:rPr>
        <w:t xml:space="preserve"> (ПИР)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F73BA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>
        <w:rPr>
          <w:rFonts w:ascii="Times New Roman" w:hAnsi="Times New Roman" w:cs="Times New Roman"/>
          <w:sz w:val="28"/>
          <w:szCs w:val="28"/>
        </w:rPr>
        <w:t>а мероприятие составляет 1 945,4</w:t>
      </w:r>
      <w:r w:rsidRPr="006F73B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B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Заключены муниципальные контракты на проведение инженерных изысканий, разработку</w:t>
      </w:r>
      <w:r w:rsidRPr="005C41A2">
        <w:rPr>
          <w:rFonts w:ascii="Times New Roman" w:hAnsi="Times New Roman" w:cs="Times New Roman"/>
          <w:sz w:val="28"/>
          <w:szCs w:val="28"/>
        </w:rPr>
        <w:t xml:space="preserve"> проектно-сметной и рабочей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1 835,0 тыс. рублей. Работы выполнены в полном объеме;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8B169E">
        <w:rPr>
          <w:rFonts w:ascii="Times New Roman" w:hAnsi="Times New Roman" w:cs="Times New Roman"/>
          <w:sz w:val="28"/>
          <w:szCs w:val="28"/>
        </w:rPr>
        <w:t>Ремонт дорог в СП Шапша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F73BA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</w:t>
      </w:r>
      <w:r>
        <w:rPr>
          <w:rFonts w:ascii="Times New Roman" w:hAnsi="Times New Roman" w:cs="Times New Roman"/>
          <w:sz w:val="28"/>
          <w:szCs w:val="28"/>
        </w:rPr>
        <w:t>а мероприятие составляет 8 000,0</w:t>
      </w:r>
      <w:r w:rsidRPr="006F73B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B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Заключены муниципальные контракты на общую сумму 7 741,1 тыс. рублей. </w:t>
      </w:r>
      <w:r w:rsidRPr="00583428">
        <w:rPr>
          <w:rFonts w:ascii="Times New Roman" w:hAnsi="Times New Roman" w:cs="Times New Roman"/>
          <w:sz w:val="28"/>
          <w:szCs w:val="28"/>
        </w:rPr>
        <w:t>Выполнены работы по асфальтированию дорожного полотна, устройству укрепительных полос из щебня по ул. Северная, у</w:t>
      </w:r>
      <w:r>
        <w:rPr>
          <w:rFonts w:ascii="Times New Roman" w:hAnsi="Times New Roman" w:cs="Times New Roman"/>
          <w:sz w:val="28"/>
          <w:szCs w:val="28"/>
        </w:rPr>
        <w:t>л. Боровая, ул. Светлая д. Шапша;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«Строительство вертолетных площадок</w:t>
      </w:r>
      <w:r w:rsidRPr="008B169E">
        <w:rPr>
          <w:rFonts w:ascii="Times New Roman" w:hAnsi="Times New Roman" w:cs="Times New Roman"/>
          <w:sz w:val="28"/>
          <w:szCs w:val="28"/>
        </w:rPr>
        <w:t xml:space="preserve"> для транспортного судна по типу МИ-8 в населенном пункте: п. </w:t>
      </w:r>
      <w:proofErr w:type="gramStart"/>
      <w:r w:rsidRPr="008B169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Чембакчино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2021 году планируется заключение контрактов на разработку проектно-сметной документации. Завершение работ планируется в апреле 2022 года. 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C0BCB">
        <w:rPr>
          <w:rFonts w:ascii="Times New Roman" w:hAnsi="Times New Roman" w:cs="Times New Roman"/>
          <w:sz w:val="28"/>
          <w:szCs w:val="28"/>
        </w:rPr>
        <w:t>Ремонт и капитальный ремонт автодорог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63DCF">
        <w:rPr>
          <w:rFonts w:ascii="Times New Roman" w:hAnsi="Times New Roman" w:cs="Times New Roman"/>
          <w:sz w:val="28"/>
          <w:szCs w:val="28"/>
        </w:rPr>
        <w:t>Ответственным исполнителем мероприятия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20 000,0 тыс. рублей. Заключены муниципальные контракты по р</w:t>
      </w:r>
      <w:r w:rsidRPr="000A591E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591E">
        <w:rPr>
          <w:rFonts w:ascii="Times New Roman" w:hAnsi="Times New Roman" w:cs="Times New Roman"/>
          <w:sz w:val="28"/>
          <w:szCs w:val="28"/>
        </w:rPr>
        <w:t xml:space="preserve"> дороги местного значения ул. </w:t>
      </w:r>
      <w:proofErr w:type="gramStart"/>
      <w:r w:rsidRPr="000A591E">
        <w:rPr>
          <w:rFonts w:ascii="Times New Roman" w:hAnsi="Times New Roman" w:cs="Times New Roman"/>
          <w:sz w:val="28"/>
          <w:szCs w:val="28"/>
        </w:rPr>
        <w:t>Обская</w:t>
      </w:r>
      <w:proofErr w:type="gramEnd"/>
      <w:r w:rsidRPr="000A591E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0A591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(выполнение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общую сумму 19 996,3 тыс. рублей. Работы выполнены в полном объеме.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36AA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транспортных услуг водным, воздушным,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6AA">
        <w:rPr>
          <w:rFonts w:ascii="Times New Roman" w:hAnsi="Times New Roman" w:cs="Times New Roman"/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</w:r>
      <w:r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22 715,2 тыс. рублей. Исполнение составило 54,6 %. Заключено соглашение на предоставление транспортных услуг</w:t>
      </w:r>
      <w:r w:rsidRPr="00365273">
        <w:rPr>
          <w:rFonts w:ascii="Times New Roman" w:hAnsi="Times New Roman" w:cs="Times New Roman"/>
          <w:sz w:val="28"/>
          <w:szCs w:val="28"/>
        </w:rPr>
        <w:t xml:space="preserve"> с АО «</w:t>
      </w:r>
      <w:proofErr w:type="spellStart"/>
      <w:r w:rsidRPr="00365273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65273">
        <w:rPr>
          <w:rFonts w:ascii="Times New Roman" w:hAnsi="Times New Roman" w:cs="Times New Roman"/>
          <w:sz w:val="28"/>
          <w:szCs w:val="28"/>
        </w:rPr>
        <w:t>Вертолетные услуги»</w:t>
      </w:r>
      <w:r>
        <w:rPr>
          <w:rFonts w:ascii="Times New Roman" w:hAnsi="Times New Roman" w:cs="Times New Roman"/>
          <w:sz w:val="28"/>
          <w:szCs w:val="28"/>
        </w:rPr>
        <w:t xml:space="preserve">. Оплата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предоставленных счетов по итогам осуществления перевозок. 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24">
        <w:rPr>
          <w:rFonts w:ascii="Times New Roman" w:hAnsi="Times New Roman" w:cs="Times New Roman"/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</w:t>
      </w:r>
      <w:r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3 213,9 тыс. рублей. Исполнение составило 55,9 %. Заключено соглашение на предоставление транспортных услуг</w:t>
      </w:r>
      <w:r w:rsidRPr="00365273">
        <w:rPr>
          <w:rFonts w:ascii="Times New Roman" w:hAnsi="Times New Roman" w:cs="Times New Roman"/>
          <w:sz w:val="28"/>
          <w:szCs w:val="28"/>
        </w:rPr>
        <w:t xml:space="preserve"> </w:t>
      </w:r>
      <w:r w:rsidRPr="0015491D">
        <w:rPr>
          <w:rFonts w:ascii="Times New Roman" w:hAnsi="Times New Roman" w:cs="Times New Roman"/>
          <w:sz w:val="28"/>
          <w:szCs w:val="28"/>
        </w:rPr>
        <w:t>с АО «</w:t>
      </w:r>
      <w:proofErr w:type="spellStart"/>
      <w:r w:rsidRPr="0015491D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154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Оплата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предоставленных счетов по итогам осуществления перевозок. 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24">
        <w:rPr>
          <w:rFonts w:ascii="Times New Roman" w:hAnsi="Times New Roman" w:cs="Times New Roman"/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1 248,3 тыс. рублей. Исполнение составило 85,0%. Оплата производится согласно предоставленных счетов по итогам осуществления перевозок.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43B5">
        <w:rPr>
          <w:rFonts w:ascii="Times New Roman" w:hAnsi="Times New Roman" w:cs="Times New Roman"/>
          <w:sz w:val="28"/>
          <w:szCs w:val="28"/>
        </w:rPr>
        <w:t>Содержание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752B4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</w:t>
      </w:r>
      <w:r>
        <w:rPr>
          <w:rFonts w:ascii="Times New Roman" w:hAnsi="Times New Roman" w:cs="Times New Roman"/>
          <w:sz w:val="28"/>
          <w:szCs w:val="28"/>
        </w:rPr>
        <w:t xml:space="preserve">». Объем финансовых затрат, предусмотренных на мероприятие составляет 3 152,3 тыс. рублей. Расходы </w:t>
      </w:r>
      <w:r>
        <w:rPr>
          <w:rFonts w:ascii="Times New Roman" w:hAnsi="Times New Roman" w:cs="Times New Roman"/>
          <w:sz w:val="28"/>
          <w:szCs w:val="28"/>
        </w:rPr>
        <w:lastRenderedPageBreak/>
        <w:t>запланированы на содержание вертолетных площадок в сельских поселениях района. Исполнение составило 91,7 %. Финансирование мероприятия осуществляется ежемесячно в соответствии с условиями соглашений по передаче полномочий. До конца текущего года ожидается 100 % исполнение;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2B4">
        <w:rPr>
          <w:rFonts w:ascii="Times New Roman" w:hAnsi="Times New Roman" w:cs="Times New Roman"/>
          <w:sz w:val="28"/>
          <w:szCs w:val="28"/>
        </w:rPr>
        <w:t>Содержание автомобильной дороги «Подъезд к д. Ярки»</w:t>
      </w:r>
      <w:r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2 488,5 тыс. рублей. Исполнение составило 91,7 %. Исполнение составило 91,7 %. Финансирование мероприятия осуществляется ежемесячно в соответствии с условиями соглашений по передаче полномочий. До конца текущего года ожидается 100 % исполнение;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272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к п. </w:t>
      </w:r>
      <w:proofErr w:type="spellStart"/>
      <w:r w:rsidRPr="00F0627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F062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2 667,7 тыс. рублей. Исполнение составило 91,7 %. Финансирование мероприятия осуществляется ежемесячно в соответствии с условиями соглашений по передаче полномочий. До конца текущего года ожидается 100 % исполнение;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272">
        <w:rPr>
          <w:rFonts w:ascii="Times New Roman" w:hAnsi="Times New Roman" w:cs="Times New Roman"/>
          <w:sz w:val="28"/>
          <w:szCs w:val="28"/>
        </w:rPr>
        <w:t xml:space="preserve">Содержание вновь введенного в эксплуатацию объекта: «Строительство участка подъезда дороги </w:t>
      </w:r>
      <w:proofErr w:type="gramStart"/>
      <w:r w:rsidRPr="00F062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27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0627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F062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Объем финансовых затрат, предусмотренных на мероприятие составляет 348,3 тыс. рублей. Исполнение составило 91,7 %. Финансирование мероприятия осуществляется ежемесячно в соответствии с условиями соглашений по передаче полномочий. До конца текущего года ожидается 100 % исполнение;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1DC5">
        <w:rPr>
          <w:rFonts w:ascii="Times New Roman" w:hAnsi="Times New Roman" w:cs="Times New Roman"/>
          <w:sz w:val="28"/>
          <w:szCs w:val="28"/>
        </w:rPr>
        <w:t>Популяризация деятельности школьных отрядов юных инспекторов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350,0 тыс. рублей. </w:t>
      </w:r>
      <w:r w:rsidRPr="00756DFD">
        <w:rPr>
          <w:rFonts w:ascii="Times New Roman" w:hAnsi="Times New Roman" w:cs="Times New Roman"/>
          <w:sz w:val="28"/>
          <w:szCs w:val="28"/>
        </w:rPr>
        <w:t>Исполнение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на сумму 350,0 тыс. рублей на приобретение формы для </w:t>
      </w:r>
      <w:r w:rsidRPr="003F1DC5">
        <w:rPr>
          <w:rFonts w:ascii="Times New Roman" w:hAnsi="Times New Roman" w:cs="Times New Roman"/>
          <w:sz w:val="28"/>
          <w:szCs w:val="28"/>
        </w:rPr>
        <w:t>деятельности школьных отрядов юных инспекторов дорожного движения</w:t>
      </w:r>
      <w:r>
        <w:rPr>
          <w:rFonts w:ascii="Times New Roman" w:hAnsi="Times New Roman" w:cs="Times New Roman"/>
          <w:sz w:val="28"/>
          <w:szCs w:val="28"/>
        </w:rPr>
        <w:t>. Выполнение планируется в декабре 2021 года.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1DC5">
        <w:rPr>
          <w:rFonts w:ascii="Times New Roman" w:hAnsi="Times New Roman" w:cs="Times New Roman"/>
          <w:sz w:val="28"/>
          <w:szCs w:val="28"/>
        </w:rPr>
        <w:t>Участие в районных, региональных слетах, конкурсах юных инспекторов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мероприятие составляет 140,0 тыс. рублей. </w:t>
      </w:r>
      <w:r w:rsidRPr="00756DFD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14,5 %. Низкий процент выполнения сложился, так как мероприятия проводились в онлайн формате в связи неблагоприятной эпидемиологической обстановкой.</w:t>
      </w:r>
    </w:p>
    <w:p w:rsidR="00440D43" w:rsidRDefault="00440D43"/>
    <w:p w:rsidR="00D10877" w:rsidRDefault="00D10877" w:rsidP="00D10877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877" w:rsidRDefault="00D10877" w:rsidP="00D10877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10877" w:rsidSect="00D108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0877" w:rsidRPr="00D10877" w:rsidRDefault="00D10877" w:rsidP="00D10877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10877" w:rsidRPr="00D10877" w:rsidRDefault="00D10877" w:rsidP="00D10877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информации о ходе реализации </w:t>
      </w:r>
      <w:r w:rsidRPr="00D108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D10877" w:rsidRPr="00D10877" w:rsidRDefault="00D10877" w:rsidP="00D1087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08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Pr="00D10877">
        <w:rPr>
          <w:rFonts w:ascii="Times New Roman" w:eastAsia="Calibri" w:hAnsi="Times New Roman" w:cs="Times New Roman"/>
          <w:sz w:val="28"/>
          <w:szCs w:val="28"/>
        </w:rPr>
        <w:t>«Комплексное развитие</w:t>
      </w:r>
    </w:p>
    <w:p w:rsidR="00D10877" w:rsidRPr="00D10877" w:rsidRDefault="00D10877" w:rsidP="00D10877">
      <w:pPr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10877">
        <w:rPr>
          <w:rFonts w:ascii="Times New Roman" w:eastAsia="Calibri" w:hAnsi="Times New Roman" w:cs="Times New Roman"/>
          <w:sz w:val="28"/>
          <w:szCs w:val="28"/>
        </w:rPr>
        <w:t>транспортной системы на территории Ханты-Мансийского</w:t>
      </w:r>
    </w:p>
    <w:p w:rsidR="00D10877" w:rsidRPr="00D10877" w:rsidRDefault="00D10877" w:rsidP="00D1087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0877">
        <w:rPr>
          <w:rFonts w:ascii="Times New Roman" w:eastAsia="Calibri" w:hAnsi="Times New Roman" w:cs="Times New Roman"/>
          <w:sz w:val="28"/>
          <w:szCs w:val="28"/>
        </w:rPr>
        <w:t xml:space="preserve">района на 2019-2023 годы» </w:t>
      </w:r>
      <w:r w:rsidRPr="00D108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состоянию на 1 декабря 2021 года</w:t>
      </w:r>
    </w:p>
    <w:p w:rsidR="00D10877" w:rsidRPr="00D10877" w:rsidRDefault="00D10877" w:rsidP="00D10877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877" w:rsidRPr="00D10877" w:rsidRDefault="00D10877" w:rsidP="00D10877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7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муниципальной программы Ханты-Мансийского района</w:t>
      </w:r>
    </w:p>
    <w:p w:rsidR="00D10877" w:rsidRPr="00D10877" w:rsidRDefault="00D10877" w:rsidP="00D10877">
      <w:pPr>
        <w:ind w:right="-173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877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на 2019-</w:t>
      </w:r>
      <w:r w:rsidRPr="00D10877">
        <w:rPr>
          <w:rFonts w:ascii="Times New Roman" w:eastAsia="Calibri" w:hAnsi="Times New Roman" w:cs="Times New Roman"/>
          <w:sz w:val="28"/>
          <w:szCs w:val="28"/>
        </w:rPr>
        <w:t>2023 годы»</w:t>
      </w:r>
    </w:p>
    <w:p w:rsidR="00D10877" w:rsidRPr="00D10877" w:rsidRDefault="00D10877" w:rsidP="00D10877">
      <w:pPr>
        <w:ind w:right="-173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877">
        <w:rPr>
          <w:rFonts w:ascii="Times New Roman" w:eastAsia="Calibri" w:hAnsi="Times New Roman" w:cs="Times New Roman"/>
          <w:sz w:val="28"/>
          <w:szCs w:val="28"/>
        </w:rPr>
        <w:t>по состоянию на 1 декабря 2021 года</w:t>
      </w:r>
    </w:p>
    <w:p w:rsidR="00D10877" w:rsidRPr="00D10877" w:rsidRDefault="00D10877" w:rsidP="00D10877">
      <w:pPr>
        <w:ind w:right="-173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199"/>
        <w:gridCol w:w="1907"/>
        <w:gridCol w:w="1825"/>
        <w:gridCol w:w="1396"/>
        <w:gridCol w:w="847"/>
        <w:gridCol w:w="4809"/>
      </w:tblGrid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</w:t>
            </w: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муниципальной программы</w:t>
            </w:r>
          </w:p>
        </w:tc>
        <w:tc>
          <w:tcPr>
            <w:tcW w:w="1907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Источники    </w:t>
            </w: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финансирования</w:t>
            </w:r>
          </w:p>
        </w:tc>
        <w:tc>
          <w:tcPr>
            <w:tcW w:w="3221" w:type="dxa"/>
            <w:gridSpan w:val="2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тыс. рублей</w:t>
            </w:r>
          </w:p>
        </w:tc>
        <w:tc>
          <w:tcPr>
            <w:tcW w:w="847" w:type="dxa"/>
            <w:vMerge w:val="restart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исполнения </w:t>
            </w:r>
          </w:p>
        </w:tc>
        <w:tc>
          <w:tcPr>
            <w:tcW w:w="4809" w:type="dxa"/>
            <w:vMerge w:val="restart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Краткий результат реализации мероприятия</w:t>
            </w:r>
          </w:p>
        </w:tc>
      </w:tr>
      <w:tr w:rsidR="00D10877" w:rsidRPr="00D10877" w:rsidTr="00D10877">
        <w:trPr>
          <w:trHeight w:val="2098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фактически исполнено</w:t>
            </w:r>
          </w:p>
        </w:tc>
        <w:tc>
          <w:tcPr>
            <w:tcW w:w="847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25" w:type="dxa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09" w:type="dxa"/>
            <w:shd w:val="clear" w:color="000000" w:fill="FFFFFF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D10877" w:rsidRPr="00D10877" w:rsidTr="00D10877">
        <w:trPr>
          <w:trHeight w:val="51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Основное мероприятие: </w:t>
            </w: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89 643,6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63 890,8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71,3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1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89 643,6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63 890,8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71,3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проектно-сметной документации по объекту «Строительство подъездной дороги до д. Белогорье и п.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Луговской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3 308,3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Подрядной организацией нарушены сроки выполнения работ. Ведется претензионная работа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3 308,3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в СП Сибирский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9 769,9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щебенению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дорог по ул. Кооперативная, ул. Новая, ул. Полевая </w:t>
            </w:r>
          </w:p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Сибирский. Установлены дорожные знаки.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9 769,9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проектно-сметной документации объекта: «Реконструкция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дорог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Батово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района»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5 052,0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 ходе проектирования выявлены дополнительные работы, стоимость которых превышает более 10 % стоимости контракта. Контракт расторгнут по соглашению сторон.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5 052,0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1.1.10.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Ремонт дороги к полигону ТБО п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орноправдинск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Выполнены работы по укладке железобетонных плит, асфальтированию дорожного полотна, устройству укрепительных полос из щебня. Установлены дорожные знаки, нанесена дорожная разметка.</w:t>
            </w:r>
          </w:p>
        </w:tc>
      </w:tr>
      <w:tr w:rsidR="00D10877" w:rsidRPr="00D10877" w:rsidTr="00D10877">
        <w:trPr>
          <w:trHeight w:val="734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6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17 777,5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ПИР «Автомобильная дорога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Цингалы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3 860,4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3 553,0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3 860,4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3 553,0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1.1.12.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объездной дороги в п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орноправдинск (ПИР, СМР)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18 500,0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3 218,0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18 500,0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3 218,0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1.1.13.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дороги к новому кладбищу в п.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Горноправдинск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(ПИР)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1 945,4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1 835,0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1 945,4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1 835,0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1.1.14.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Ремонт дорог в СП Шапша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7 741,1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асфальтированию </w:t>
            </w: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дорожного полотна, устройству укрепительных полос из щебня по ул. Северная, ул. Боровая, ул. Светлая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Шапша.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7 741,1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1.1.15.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пункте: п.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Сибирский</w:t>
            </w:r>
            <w:proofErr w:type="gram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планируется выполнить в апреле 2022 года. 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1.1.16.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пункте: с.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Цингалы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планируется выполнить в апреле 2022 года. 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1.1.17.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вертолетной площадки для транспортного судна по типу МИ-8 в населенном пункте: д.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Чембакчино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планируется выполнить в апреле 2022 года. 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 w:val="restart"/>
            <w:shd w:val="clear" w:color="auto" w:fill="auto"/>
            <w:noWrap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1.1.18.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Ремонт и капитальный ремонт автодорог местного значения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19 996,3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работы по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щебенению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дороги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ул. Обская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Красноленинский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19 996,3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27 177,4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15 263,1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56,2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27 177,4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15 263,1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56,2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405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из местного </w:t>
            </w: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22 715,2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12 405,8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Предоставлены транспортные услуги населению </w:t>
            </w: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количестве 261 рейс.</w:t>
            </w:r>
          </w:p>
        </w:tc>
      </w:tr>
      <w:tr w:rsidR="00D10877" w:rsidRPr="00D10877" w:rsidTr="00D10877">
        <w:trPr>
          <w:trHeight w:val="644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53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22 715,2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12 405,8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</w:t>
            </w:r>
            <w:proofErr w:type="gram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3 213,9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1 796,8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Предоставлены транспортные услуги населению в количестве 122 рейса.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3 213,9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1 796,8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Предоставлены транспортные услуги населению в количестве 408 рейсов.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мероприятие. Содержание транспортной инфраструктуры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8 656,7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7 935,3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91,7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8 656,7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7 935,3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91,7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и эксплуатация вертолетных площадок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72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3 152,2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Цингалы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2 вертолетных площадок в </w:t>
            </w: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3.1.1.2.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2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3.1.1.3.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Кышик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3.1.1.4.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4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3.1.1.5.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3.1.1.6.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2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3.1.1.7.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3.1.1.8.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Шапша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3.1.1.9.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  <w:proofErr w:type="gram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3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3.1.1.10.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2 вертолетных площадок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68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Содержание 1 вертолетной площадки в техническом состоянии, необходимом для взлета и посадки воздушного транспорта.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8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автомобильной дороги «Подъезд к д. Ярки»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2 281,1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участков (подъездов) дорог до населенных пунктов района общей протяженностью 3,3 км. 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54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2 488,5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2 281,1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автомобильной дороги «Подъезд к п.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участков (подъездов) дорог до населенных пунктов района общей протяженностью 6,4 км. 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443"/>
        </w:trPr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2 667,7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3.1.4.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вновь введенного в эксплуатацию объекта: «Строительство участка подъезда дороги </w:t>
            </w:r>
            <w:proofErr w:type="gram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Реполово</w:t>
            </w:r>
            <w:proofErr w:type="spellEnd"/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участков (подъездов) дорог до населенных пунктов района общей протяженностью 1,1 км. 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4.1.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мероприятие: Популяризация деятельности школьных отрядов юных инспекторов дорожного движения 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Заключен договор на сумму 350,0 тыс. рублей на приобретение формы для деятельности школьных отрядов юных инспекторов дорожного движения. Выполнение планируется в декабре 2021 года.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4.2.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14,5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14,5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Мероприятия проводились в онлайн формате, в связи неблагоприятной эпидемиологической обстановкой.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480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125 967,7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87 109,5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599"/>
        </w:trPr>
        <w:tc>
          <w:tcPr>
            <w:tcW w:w="1022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Merge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877" w:rsidRPr="00D10877" w:rsidTr="00D10877">
        <w:trPr>
          <w:trHeight w:val="300"/>
        </w:trPr>
        <w:tc>
          <w:tcPr>
            <w:tcW w:w="1022" w:type="dxa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125 967,7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87 109,5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D10877" w:rsidRP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0877" w:rsidRDefault="00D10877">
      <w:pPr>
        <w:sectPr w:rsidR="00D10877" w:rsidSect="00D108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0877" w:rsidRDefault="00D10877" w:rsidP="00D1087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10877" w:rsidRDefault="00D10877" w:rsidP="00D1087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 реализации</w:t>
      </w:r>
    </w:p>
    <w:p w:rsidR="00D10877" w:rsidRDefault="00D10877" w:rsidP="00D1087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1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Ханты-Мансийского</w:t>
      </w:r>
    </w:p>
    <w:p w:rsidR="00D10877" w:rsidRDefault="00D10877" w:rsidP="00D1087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15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«Комплексное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</w:t>
      </w:r>
      <w:proofErr w:type="gramEnd"/>
    </w:p>
    <w:p w:rsidR="00D10877" w:rsidRDefault="00D10877" w:rsidP="00D1087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15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на территории Ханты-Мансийского</w:t>
      </w:r>
    </w:p>
    <w:p w:rsidR="00D10877" w:rsidRDefault="00D10877" w:rsidP="00D1087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на 2019-2023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</w:t>
      </w:r>
    </w:p>
    <w:p w:rsidR="00D10877" w:rsidRPr="005A315E" w:rsidRDefault="00D10877" w:rsidP="00D1087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15E">
        <w:rPr>
          <w:rFonts w:ascii="Times New Roman" w:eastAsia="Times New Roman" w:hAnsi="Times New Roman" w:cs="Times New Roman"/>
          <w:color w:val="000000"/>
          <w:sz w:val="28"/>
          <w:szCs w:val="28"/>
        </w:rPr>
        <w:t>на 1 декабря 2021 года</w:t>
      </w:r>
    </w:p>
    <w:p w:rsidR="00D10877" w:rsidRDefault="00D10877" w:rsidP="00D10877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877" w:rsidRDefault="00D10877" w:rsidP="00D10877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D10877" w:rsidRDefault="00D10877" w:rsidP="00D10877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достижении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Ханты-Мансийского района </w:t>
      </w:r>
      <w:r w:rsidRPr="00173360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Хан</w:t>
      </w:r>
      <w:r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173360">
        <w:rPr>
          <w:rFonts w:ascii="Times New Roman" w:hAnsi="Times New Roman" w:cs="Times New Roman"/>
          <w:sz w:val="28"/>
          <w:szCs w:val="28"/>
        </w:rPr>
        <w:t>2023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0877" w:rsidRPr="00D10877" w:rsidRDefault="00D10877" w:rsidP="00D1087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декабря 2021 года</w:t>
      </w:r>
    </w:p>
    <w:p w:rsidR="00D10877" w:rsidRDefault="00D10877" w:rsidP="00D1087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601"/>
        <w:gridCol w:w="1230"/>
        <w:gridCol w:w="1366"/>
        <w:gridCol w:w="1503"/>
        <w:gridCol w:w="1367"/>
      </w:tblGrid>
      <w:tr w:rsidR="00D10877" w:rsidRPr="00D33691" w:rsidTr="00D10877">
        <w:trPr>
          <w:trHeight w:val="809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01" w:type="dxa"/>
            <w:vMerge w:val="restart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реализации программы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за отчетный период </w:t>
            </w:r>
          </w:p>
          <w:p w:rsidR="00D10877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плана </w:t>
            </w:r>
          </w:p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год, %</w:t>
            </w:r>
          </w:p>
        </w:tc>
      </w:tr>
      <w:tr w:rsidR="00D10877" w:rsidRPr="00D33691" w:rsidTr="00D10877">
        <w:trPr>
          <w:trHeight w:val="809"/>
        </w:trPr>
        <w:tc>
          <w:tcPr>
            <w:tcW w:w="495" w:type="dxa"/>
            <w:vMerge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0877" w:rsidRPr="00D33691" w:rsidTr="00D10877">
        <w:trPr>
          <w:trHeight w:val="305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10877" w:rsidRPr="00D33691" w:rsidTr="00D10877">
        <w:trPr>
          <w:trHeight w:val="962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0877" w:rsidRPr="00D33691" w:rsidTr="00D10877">
        <w:trPr>
          <w:trHeight w:val="1923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  <w:proofErr w:type="gramStart"/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0877" w:rsidRPr="00D33691" w:rsidTr="00D10877">
        <w:trPr>
          <w:trHeight w:val="2564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0877" w:rsidRPr="00D33691" w:rsidTr="00D10877">
        <w:trPr>
          <w:trHeight w:val="2244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877" w:rsidRPr="00D33691" w:rsidTr="00D10877">
        <w:trPr>
          <w:trHeight w:val="2117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0877" w:rsidRPr="00D33691" w:rsidTr="00D10877">
        <w:trPr>
          <w:trHeight w:val="641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воздушного транспорта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D10877" w:rsidRPr="00D33691" w:rsidTr="00D10877">
        <w:trPr>
          <w:trHeight w:val="641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водного транспорта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10877" w:rsidRPr="00D33691" w:rsidTr="00D10877">
        <w:trPr>
          <w:trHeight w:val="641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 автомобильного транспорта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10877" w:rsidRPr="00D33691" w:rsidTr="00D10877">
        <w:trPr>
          <w:trHeight w:val="962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дорог, содержащихся за счет средств бюджета Ханты-Мансийского района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0877" w:rsidRPr="00D33691" w:rsidTr="00D10877">
        <w:trPr>
          <w:trHeight w:val="962"/>
        </w:trPr>
        <w:tc>
          <w:tcPr>
            <w:tcW w:w="495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10877" w:rsidRPr="00D33691" w:rsidRDefault="00D10877" w:rsidP="00D10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10877" w:rsidRDefault="00D10877"/>
    <w:sectPr w:rsidR="00D1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53" w:rsidRDefault="00563F53" w:rsidP="00D10877">
      <w:r>
        <w:separator/>
      </w:r>
    </w:p>
  </w:endnote>
  <w:endnote w:type="continuationSeparator" w:id="0">
    <w:p w:rsidR="00563F53" w:rsidRDefault="00563F53" w:rsidP="00D1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79" w:rsidRDefault="001E07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397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0877" w:rsidRPr="00D10877" w:rsidRDefault="00D1087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0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8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2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8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79" w:rsidRDefault="001E07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53" w:rsidRDefault="00563F53" w:rsidP="00D10877">
      <w:r>
        <w:separator/>
      </w:r>
    </w:p>
  </w:footnote>
  <w:footnote w:type="continuationSeparator" w:id="0">
    <w:p w:rsidR="00563F53" w:rsidRDefault="00563F53" w:rsidP="00D1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79" w:rsidRDefault="001E07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79" w:rsidRDefault="001E07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79" w:rsidRDefault="001E07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77"/>
    <w:rsid w:val="001E0779"/>
    <w:rsid w:val="0039723A"/>
    <w:rsid w:val="00440D43"/>
    <w:rsid w:val="00563F53"/>
    <w:rsid w:val="009D67AF"/>
    <w:rsid w:val="00D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7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0877"/>
    <w:pPr>
      <w:spacing w:after="0" w:line="240" w:lineRule="auto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D10877"/>
  </w:style>
  <w:style w:type="paragraph" w:styleId="a5">
    <w:name w:val="List Paragraph"/>
    <w:aliases w:val="Варианты ответов"/>
    <w:basedOn w:val="a"/>
    <w:uiPriority w:val="34"/>
    <w:qFormat/>
    <w:rsid w:val="00D10877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D1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D10877"/>
    <w:rPr>
      <w:rFonts w:cs="Times New Roman"/>
      <w:color w:val="0000FF"/>
      <w:u w:val="single"/>
    </w:rPr>
  </w:style>
  <w:style w:type="paragraph" w:customStyle="1" w:styleId="ConsPlusTitle">
    <w:name w:val="ConsPlusTitle"/>
    <w:rsid w:val="00D10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10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10877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08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D10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0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877"/>
  </w:style>
  <w:style w:type="paragraph" w:styleId="a9">
    <w:name w:val="footer"/>
    <w:basedOn w:val="a"/>
    <w:link w:val="aa"/>
    <w:uiPriority w:val="99"/>
    <w:unhideWhenUsed/>
    <w:rsid w:val="00D10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877"/>
  </w:style>
  <w:style w:type="paragraph" w:styleId="ab">
    <w:name w:val="Balloon Text"/>
    <w:basedOn w:val="a"/>
    <w:link w:val="ac"/>
    <w:uiPriority w:val="99"/>
    <w:semiHidden/>
    <w:unhideWhenUsed/>
    <w:rsid w:val="00D10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877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D1087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108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0877"/>
    <w:rPr>
      <w:sz w:val="16"/>
      <w:szCs w:val="16"/>
    </w:rPr>
  </w:style>
  <w:style w:type="paragraph" w:customStyle="1" w:styleId="ConsPlusNormal">
    <w:name w:val="ConsPlusNormal"/>
    <w:rsid w:val="00D1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D10877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10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D1087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10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108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087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D108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10877"/>
    <w:rPr>
      <w:rFonts w:ascii="Palatino Linotype" w:hAnsi="Palatino Linotype" w:cs="Palatino Linotype" w:hint="default"/>
      <w:b/>
      <w:bCs/>
      <w:sz w:val="16"/>
      <w:szCs w:val="16"/>
    </w:rPr>
  </w:style>
  <w:style w:type="table" w:styleId="af0">
    <w:name w:val="Table Grid"/>
    <w:basedOn w:val="a1"/>
    <w:uiPriority w:val="59"/>
    <w:rsid w:val="00D1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7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0877"/>
    <w:pPr>
      <w:spacing w:after="0" w:line="240" w:lineRule="auto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D10877"/>
  </w:style>
  <w:style w:type="paragraph" w:styleId="a5">
    <w:name w:val="List Paragraph"/>
    <w:aliases w:val="Варианты ответов"/>
    <w:basedOn w:val="a"/>
    <w:uiPriority w:val="34"/>
    <w:qFormat/>
    <w:rsid w:val="00D10877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D1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D10877"/>
    <w:rPr>
      <w:rFonts w:cs="Times New Roman"/>
      <w:color w:val="0000FF"/>
      <w:u w:val="single"/>
    </w:rPr>
  </w:style>
  <w:style w:type="paragraph" w:customStyle="1" w:styleId="ConsPlusTitle">
    <w:name w:val="ConsPlusTitle"/>
    <w:rsid w:val="00D10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10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D10877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08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D10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0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877"/>
  </w:style>
  <w:style w:type="paragraph" w:styleId="a9">
    <w:name w:val="footer"/>
    <w:basedOn w:val="a"/>
    <w:link w:val="aa"/>
    <w:uiPriority w:val="99"/>
    <w:unhideWhenUsed/>
    <w:rsid w:val="00D10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877"/>
  </w:style>
  <w:style w:type="paragraph" w:styleId="ab">
    <w:name w:val="Balloon Text"/>
    <w:basedOn w:val="a"/>
    <w:link w:val="ac"/>
    <w:uiPriority w:val="99"/>
    <w:semiHidden/>
    <w:unhideWhenUsed/>
    <w:rsid w:val="00D10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877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D1087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108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0877"/>
    <w:rPr>
      <w:sz w:val="16"/>
      <w:szCs w:val="16"/>
    </w:rPr>
  </w:style>
  <w:style w:type="paragraph" w:customStyle="1" w:styleId="ConsPlusNormal">
    <w:name w:val="ConsPlusNormal"/>
    <w:rsid w:val="00D1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D10877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10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D1087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10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108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087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D108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10877"/>
    <w:rPr>
      <w:rFonts w:ascii="Palatino Linotype" w:hAnsi="Palatino Linotype" w:cs="Palatino Linotype" w:hint="default"/>
      <w:b/>
      <w:bCs/>
      <w:sz w:val="16"/>
      <w:szCs w:val="16"/>
    </w:rPr>
  </w:style>
  <w:style w:type="table" w:styleId="af0">
    <w:name w:val="Table Grid"/>
    <w:basedOn w:val="a1"/>
    <w:uiPriority w:val="59"/>
    <w:rsid w:val="00D1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3</cp:revision>
  <cp:lastPrinted>2021-12-24T07:26:00Z</cp:lastPrinted>
  <dcterms:created xsi:type="dcterms:W3CDTF">2021-12-24T07:10:00Z</dcterms:created>
  <dcterms:modified xsi:type="dcterms:W3CDTF">2021-12-24T12:17:00Z</dcterms:modified>
</cp:coreProperties>
</file>